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2026-0387-66</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Kanalsanierung - Schachtinnensanierung 2026-27</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Die Arbeiten umfassen die grabenlose Reparatur und Sanierung undichter Betonschächte im öffentlichen Kanalnetz der Stadt Münster. Auszuführen sind insbesondere Abdichtungsarbeiten an Schachtanbindungen, Schachtwänden und Schachtsohlen, die Erneuerung vorhandener Steigbügel sowie die Montage von Einsteckhülsen als Einsteighilfe. Die Arbeiten erfolgen an in Betrieb befindlichen Kanalisationsanlagen.</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